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1969" w:rsidRDefault="0037008D">
      <w:pPr>
        <w:pStyle w:val="a7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Supplementary Material</w:t>
      </w:r>
    </w:p>
    <w:p w:rsidR="004B1969" w:rsidRDefault="0037008D">
      <w:pPr>
        <w:pStyle w:val="a4"/>
        <w:widowControl/>
        <w:shd w:val="clear" w:color="auto" w:fill="FFFFFF"/>
        <w:spacing w:beforeAutospacing="0" w:after="100" w:afterAutospacing="0" w:line="360" w:lineRule="auto"/>
        <w:jc w:val="both"/>
        <w:rPr>
          <w:rFonts w:ascii="Times New Roman" w:eastAsia="Segoe UI" w:hAnsi="Times New Roman"/>
          <w:i/>
          <w:iCs/>
          <w:sz w:val="21"/>
          <w:szCs w:val="21"/>
          <w:shd w:val="clear" w:color="auto" w:fill="FFFFFF"/>
        </w:rPr>
      </w:pPr>
      <w:r>
        <w:rPr>
          <w:rStyle w:val="a5"/>
          <w:rFonts w:ascii="Times New Roman" w:eastAsia="Segoe UI" w:hAnsi="Times New Roman"/>
          <w:bCs/>
          <w:i/>
          <w:iCs/>
          <w:sz w:val="21"/>
          <w:szCs w:val="21"/>
          <w:shd w:val="clear" w:color="auto" w:fill="FFFFFF"/>
        </w:rPr>
        <w:t>S</w:t>
      </w:r>
      <w:r>
        <w:rPr>
          <w:rStyle w:val="a5"/>
          <w:rFonts w:ascii="Times New Roman" w:eastAsia="宋体" w:hAnsi="Times New Roman" w:hint="eastAsia"/>
          <w:bCs/>
          <w:i/>
          <w:iCs/>
          <w:sz w:val="21"/>
          <w:szCs w:val="21"/>
          <w:shd w:val="clear" w:color="auto" w:fill="FFFFFF"/>
        </w:rPr>
        <w:t>1</w:t>
      </w:r>
      <w:r>
        <w:rPr>
          <w:rStyle w:val="a5"/>
          <w:rFonts w:ascii="Times New Roman" w:eastAsia="Segoe UI" w:hAnsi="Times New Roman"/>
          <w:bCs/>
          <w:i/>
          <w:iCs/>
          <w:sz w:val="21"/>
          <w:szCs w:val="21"/>
          <w:shd w:val="clear" w:color="auto" w:fill="FFFFFF"/>
        </w:rPr>
        <w:t>. Standalone Diagnostic Performance of Continuous CAC Score</w:t>
      </w:r>
    </w:p>
    <w:p w:rsidR="004B1969" w:rsidRDefault="0037008D">
      <w:pPr>
        <w:pStyle w:val="a4"/>
        <w:widowControl/>
        <w:shd w:val="clear" w:color="auto" w:fill="FFFFFF"/>
        <w:spacing w:beforeAutospacing="0" w:after="100" w:afterAutospacing="0" w:line="360" w:lineRule="auto"/>
        <w:ind w:firstLine="420"/>
        <w:jc w:val="both"/>
        <w:rPr>
          <w:rStyle w:val="a5"/>
          <w:rFonts w:ascii="Times New Roman" w:eastAsia="Segoe UI" w:hAnsi="Times New Roman"/>
          <w:b w:val="0"/>
          <w:sz w:val="21"/>
          <w:szCs w:val="21"/>
          <w:shd w:val="clear" w:color="auto" w:fill="FFFFFF"/>
        </w:rPr>
      </w:pPr>
      <w:r>
        <w:rPr>
          <w:rStyle w:val="a5"/>
          <w:rFonts w:ascii="Times New Roman" w:eastAsia="Segoe UI" w:hAnsi="Times New Roman"/>
          <w:b w:val="0"/>
          <w:sz w:val="21"/>
          <w:szCs w:val="21"/>
          <w:shd w:val="clear" w:color="auto" w:fill="FFFFFF"/>
        </w:rPr>
        <w:t>Given the highly non-linear risk trajectory confirmed in our primary analysis, traditional binary classification metrics are methodologically limited.</w:t>
      </w:r>
      <w:r>
        <w:rPr>
          <w:rFonts w:ascii="Times New Roman" w:eastAsia="Segoe UI" w:hAnsi="Times New Roman"/>
          <w:sz w:val="21"/>
          <w:szCs w:val="21"/>
          <w:shd w:val="clear" w:color="auto" w:fill="FFFFFF"/>
        </w:rPr>
        <w:t xml:space="preserve"> However, to </w:t>
      </w:r>
      <w:r>
        <w:rPr>
          <w:rFonts w:ascii="Times New Roman" w:eastAsia="Segoe UI" w:hAnsi="Times New Roman"/>
          <w:sz w:val="21"/>
          <w:szCs w:val="21"/>
          <w:shd w:val="clear" w:color="auto" w:fill="FFFFFF"/>
        </w:rPr>
        <w:t>empirically demonstrate the limitations of relying on a single absolute threshold, the isolated discriminative ability of the continuous total CAC score for predicting any-vessel underestimation was evaluated descriptively using standard receiver operating</w:t>
      </w:r>
      <w:r>
        <w:rPr>
          <w:rFonts w:ascii="Times New Roman" w:eastAsia="Segoe UI" w:hAnsi="Times New Roman"/>
          <w:sz w:val="21"/>
          <w:szCs w:val="21"/>
          <w:shd w:val="clear" w:color="auto" w:fill="FFFFFF"/>
        </w:rPr>
        <w:t xml:space="preserve"> characteristic (ROC) analysis (Supplementary Fig</w:t>
      </w:r>
      <w:r w:rsidR="009D71D6">
        <w:rPr>
          <w:rFonts w:ascii="Times New Roman" w:eastAsia="Segoe UI" w:hAnsi="Times New Roman"/>
          <w:sz w:val="21"/>
          <w:szCs w:val="21"/>
          <w:shd w:val="clear" w:color="auto" w:fill="FFFFFF"/>
        </w:rPr>
        <w:t xml:space="preserve">. </w:t>
      </w:r>
      <w:bookmarkStart w:id="0" w:name="_GoBack"/>
      <w:bookmarkEnd w:id="0"/>
      <w:r>
        <w:rPr>
          <w:rFonts w:ascii="Times New Roman" w:eastAsia="Segoe UI" w:hAnsi="Times New Roman"/>
          <w:sz w:val="21"/>
          <w:szCs w:val="21"/>
          <w:shd w:val="clear" w:color="auto" w:fill="FFFFFF"/>
        </w:rPr>
        <w:t>1). The CAC score exhibited limited standalone diagnostic accuracy, yielding an area under the curve (AUC) of 0.551. Optimization utilizing the Youden index identified a single theoretical cutoff at CAC</w:t>
      </w:r>
      <w:r>
        <w:rPr>
          <w:rFonts w:ascii="Times New Roman" w:eastAsia="Segoe UI" w:hAnsi="Times New Roman"/>
          <w:sz w:val="21"/>
          <w:szCs w:val="21"/>
          <w:shd w:val="clear" w:color="auto" w:fill="FFFFFF"/>
        </w:rPr>
        <w:t xml:space="preserve"> = 38.4. While this threshold provided high sensitivity (0.848), it resulted in poor specificity (0.271), indicating a high false-positive rate if used as a strict diagnostic boundary. </w:t>
      </w:r>
      <w:r>
        <w:rPr>
          <w:rStyle w:val="a5"/>
          <w:rFonts w:ascii="Times New Roman" w:eastAsia="Segoe UI" w:hAnsi="Times New Roman"/>
          <w:b w:val="0"/>
          <w:sz w:val="21"/>
          <w:szCs w:val="21"/>
          <w:shd w:val="clear" w:color="auto" w:fill="FFFFFF"/>
        </w:rPr>
        <w:t>These findings empirically validate our decision to eschew a single mat</w:t>
      </w:r>
      <w:r>
        <w:rPr>
          <w:rStyle w:val="a5"/>
          <w:rFonts w:ascii="Times New Roman" w:eastAsia="Segoe UI" w:hAnsi="Times New Roman"/>
          <w:b w:val="0"/>
          <w:sz w:val="21"/>
          <w:szCs w:val="21"/>
          <w:shd w:val="clear" w:color="auto" w:fill="FFFFFF"/>
        </w:rPr>
        <w:t>hematical cutoff in favor of multi-dimensional risk profiling in the primary manuscript.</w:t>
      </w:r>
    </w:p>
    <w:p w:rsidR="004B1969" w:rsidRDefault="0037008D" w:rsidP="009D71D6">
      <w:pPr>
        <w:pStyle w:val="a4"/>
        <w:widowControl/>
        <w:shd w:val="clear" w:color="auto" w:fill="FFFFFF"/>
        <w:spacing w:beforeAutospacing="0" w:after="100" w:afterAutospacing="0" w:line="360" w:lineRule="auto"/>
        <w:jc w:val="center"/>
        <w:rPr>
          <w:rStyle w:val="a5"/>
          <w:rFonts w:ascii="Times New Roman" w:eastAsia="宋体" w:hAnsi="Times New Roman"/>
          <w:bCs/>
          <w:sz w:val="21"/>
          <w:szCs w:val="21"/>
          <w:shd w:val="clear" w:color="auto" w:fill="FFFFFF"/>
        </w:rPr>
      </w:pPr>
      <w:r>
        <w:rPr>
          <w:rStyle w:val="a5"/>
          <w:rFonts w:ascii="Times New Roman" w:eastAsia="宋体" w:hAnsi="Times New Roman" w:hint="eastAsia"/>
          <w:bCs/>
          <w:noProof/>
          <w:sz w:val="21"/>
          <w:szCs w:val="21"/>
          <w:shd w:val="clear" w:color="auto" w:fill="FFFFFF"/>
        </w:rPr>
        <w:drawing>
          <wp:inline distT="0" distB="0" distL="114300" distR="114300">
            <wp:extent cx="3731260" cy="3731260"/>
            <wp:effectExtent l="0" t="0" r="2540" b="2540"/>
            <wp:docPr id="19" name="图片 19" descr="Supplementary Figure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Supplementary Figure S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31260" cy="373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969" w:rsidRDefault="0037008D">
      <w:pPr>
        <w:pStyle w:val="a4"/>
        <w:widowControl/>
        <w:shd w:val="clear" w:color="auto" w:fill="FFFFFF"/>
        <w:spacing w:beforeAutospacing="0" w:after="100" w:afterAutospacing="0" w:line="360" w:lineRule="auto"/>
        <w:jc w:val="both"/>
        <w:rPr>
          <w:rFonts w:ascii="Times New Roman" w:eastAsia="Segoe UI" w:hAnsi="Times New Roman"/>
          <w:sz w:val="18"/>
          <w:szCs w:val="18"/>
        </w:rPr>
      </w:pPr>
      <w:r>
        <w:rPr>
          <w:rStyle w:val="a5"/>
          <w:rFonts w:ascii="Times New Roman" w:eastAsia="Segoe UI" w:hAnsi="Times New Roman"/>
          <w:bCs/>
          <w:sz w:val="18"/>
          <w:szCs w:val="18"/>
          <w:shd w:val="clear" w:color="auto" w:fill="FFFFFF"/>
        </w:rPr>
        <w:t>Supplementary Fig</w:t>
      </w:r>
      <w:r w:rsidR="009D71D6">
        <w:rPr>
          <w:rStyle w:val="a5"/>
          <w:rFonts w:ascii="Times New Roman" w:eastAsia="Segoe UI" w:hAnsi="Times New Roman"/>
          <w:bCs/>
          <w:sz w:val="18"/>
          <w:szCs w:val="18"/>
          <w:shd w:val="clear" w:color="auto" w:fill="FFFFFF"/>
        </w:rPr>
        <w:t xml:space="preserve">. </w:t>
      </w:r>
      <w:r>
        <w:rPr>
          <w:rStyle w:val="a5"/>
          <w:rFonts w:ascii="Times New Roman" w:eastAsia="宋体" w:hAnsi="Times New Roman" w:hint="eastAsia"/>
          <w:bCs/>
          <w:sz w:val="18"/>
          <w:szCs w:val="18"/>
          <w:shd w:val="clear" w:color="auto" w:fill="FFFFFF"/>
        </w:rPr>
        <w:t>1</w:t>
      </w:r>
      <w:r>
        <w:rPr>
          <w:rStyle w:val="a5"/>
          <w:rFonts w:ascii="Times New Roman" w:eastAsia="Segoe UI" w:hAnsi="Times New Roman"/>
          <w:bCs/>
          <w:sz w:val="18"/>
          <w:szCs w:val="18"/>
          <w:shd w:val="clear" w:color="auto" w:fill="FFFFFF"/>
        </w:rPr>
        <w:t>. Receiver operating characteristic (ROC) curve of total CAC score for predicting patient-level CCTA underestimation</w:t>
      </w:r>
      <w:r w:rsidR="009D71D6">
        <w:rPr>
          <w:rFonts w:ascii="Times New Roman" w:eastAsia="Segoe UI" w:hAnsi="Times New Roman"/>
          <w:sz w:val="18"/>
          <w:szCs w:val="18"/>
          <w:shd w:val="clear" w:color="auto" w:fill="FFFFFF"/>
        </w:rPr>
        <w:t xml:space="preserve">. </w:t>
      </w:r>
      <w:r>
        <w:rPr>
          <w:rStyle w:val="a6"/>
          <w:rFonts w:ascii="Times New Roman" w:eastAsia="Segoe UI" w:hAnsi="Times New Roman"/>
          <w:i w:val="0"/>
          <w:sz w:val="18"/>
          <w:szCs w:val="18"/>
          <w:shd w:val="clear" w:color="auto" w:fill="FFFFFF"/>
        </w:rPr>
        <w:t>Notes:</w:t>
      </w:r>
      <w:r>
        <w:rPr>
          <w:rFonts w:ascii="Times New Roman" w:eastAsia="Segoe UI" w:hAnsi="Times New Roman"/>
          <w:sz w:val="18"/>
          <w:szCs w:val="18"/>
          <w:shd w:val="clear" w:color="auto" w:fill="FFFFFF"/>
        </w:rPr>
        <w:t> </w:t>
      </w:r>
      <w:r>
        <w:rPr>
          <w:rFonts w:ascii="Times New Roman" w:eastAsia="Segoe UI" w:hAnsi="Times New Roman"/>
          <w:sz w:val="18"/>
          <w:szCs w:val="18"/>
          <w:shd w:val="clear" w:color="auto" w:fill="FFFFFF"/>
        </w:rPr>
        <w:t xml:space="preserve">This ROC curve </w:t>
      </w:r>
      <w:r>
        <w:rPr>
          <w:rFonts w:ascii="Times New Roman" w:eastAsia="Segoe UI" w:hAnsi="Times New Roman"/>
          <w:sz w:val="18"/>
          <w:szCs w:val="18"/>
          <w:shd w:val="clear" w:color="auto" w:fill="FFFFFF"/>
        </w:rPr>
        <w:t xml:space="preserve">evaluates the standalone diagnostic discrimination of the continuous total CAC score for identifying patients with at least one underestimated coronary </w:t>
      </w:r>
      <w:r>
        <w:rPr>
          <w:rFonts w:ascii="Times New Roman" w:eastAsia="Segoe UI" w:hAnsi="Times New Roman"/>
          <w:sz w:val="18"/>
          <w:szCs w:val="18"/>
          <w:shd w:val="clear" w:color="auto" w:fill="FFFFFF"/>
        </w:rPr>
        <w:lastRenderedPageBreak/>
        <w:t>vessel. </w:t>
      </w:r>
      <w:r>
        <w:rPr>
          <w:rStyle w:val="a5"/>
          <w:rFonts w:ascii="Times New Roman" w:eastAsia="Segoe UI" w:hAnsi="Times New Roman"/>
          <w:b w:val="0"/>
          <w:sz w:val="18"/>
          <w:szCs w:val="18"/>
          <w:shd w:val="clear" w:color="auto" w:fill="FFFFFF"/>
        </w:rPr>
        <w:t>Consistent with the non-linear nature of calcification artifacts,</w:t>
      </w:r>
      <w:r>
        <w:rPr>
          <w:rFonts w:ascii="Times New Roman" w:eastAsia="Segoe UI" w:hAnsi="Times New Roman"/>
          <w:sz w:val="18"/>
          <w:szCs w:val="18"/>
          <w:shd w:val="clear" w:color="auto" w:fill="FFFFFF"/>
        </w:rPr>
        <w:t xml:space="preserve"> the optimal cutoff point </w:t>
      </w:r>
      <w:r>
        <w:rPr>
          <w:rFonts w:ascii="Times New Roman" w:eastAsia="Segoe UI" w:hAnsi="Times New Roman"/>
          <w:sz w:val="18"/>
          <w:szCs w:val="18"/>
          <w:shd w:val="clear" w:color="auto" w:fill="FFFFFF"/>
        </w:rPr>
        <w:t>(38.4) determined mathematically using the maximum Youden index yields imbalanced sensitivity and specificity, </w:t>
      </w:r>
      <w:r>
        <w:rPr>
          <w:rStyle w:val="a5"/>
          <w:rFonts w:ascii="Times New Roman" w:eastAsia="Segoe UI" w:hAnsi="Times New Roman"/>
          <w:b w:val="0"/>
          <w:sz w:val="18"/>
          <w:szCs w:val="18"/>
          <w:shd w:val="clear" w:color="auto" w:fill="FFFFFF"/>
        </w:rPr>
        <w:t>highlighting its unsuitability for direct clinical application.</w:t>
      </w:r>
      <w:r>
        <w:rPr>
          <w:rFonts w:ascii="Times New Roman" w:eastAsia="Segoe UI" w:hAnsi="Times New Roman"/>
          <w:sz w:val="18"/>
          <w:szCs w:val="18"/>
          <w:shd w:val="clear" w:color="auto" w:fill="FFFFFF"/>
        </w:rPr>
        <w:t> The reference line (dashed) represents an AUC of 0.50. Abbreviations: AUC, area u</w:t>
      </w:r>
      <w:r>
        <w:rPr>
          <w:rFonts w:ascii="Times New Roman" w:eastAsia="Segoe UI" w:hAnsi="Times New Roman"/>
          <w:sz w:val="18"/>
          <w:szCs w:val="18"/>
          <w:shd w:val="clear" w:color="auto" w:fill="FFFFFF"/>
        </w:rPr>
        <w:t>nder the curve; CAC, coronary artery calcium; CCTA, coronary computed tomography angiography; ROC, receiver operating characteristic.</w:t>
      </w:r>
    </w:p>
    <w:p w:rsidR="004B1969" w:rsidRDefault="004B1969">
      <w:pPr>
        <w:pStyle w:val="a4"/>
        <w:widowControl/>
        <w:shd w:val="clear" w:color="auto" w:fill="FFFFFF"/>
        <w:spacing w:beforeAutospacing="0" w:after="100" w:afterAutospacing="0" w:line="360" w:lineRule="auto"/>
        <w:jc w:val="both"/>
        <w:rPr>
          <w:rFonts w:ascii="Times New Roman" w:eastAsia="Segoe UI" w:hAnsi="Times New Roman"/>
          <w:shd w:val="clear" w:color="auto" w:fill="FFFFFF"/>
        </w:rPr>
      </w:pPr>
    </w:p>
    <w:p w:rsidR="004B1969" w:rsidRDefault="0037008D">
      <w:pPr>
        <w:pStyle w:val="a4"/>
        <w:widowControl/>
        <w:shd w:val="clear" w:color="auto" w:fill="FFFFFF"/>
        <w:spacing w:beforeAutospacing="0" w:after="100" w:afterAutospacing="0" w:line="360" w:lineRule="auto"/>
        <w:jc w:val="both"/>
        <w:rPr>
          <w:rFonts w:ascii="Times New Roman" w:eastAsia="Segoe UI" w:hAnsi="Times New Roman"/>
          <w:i/>
          <w:iCs/>
          <w:sz w:val="21"/>
          <w:szCs w:val="21"/>
          <w:shd w:val="clear" w:color="auto" w:fill="FFFFFF"/>
        </w:rPr>
      </w:pPr>
      <w:r>
        <w:rPr>
          <w:rStyle w:val="a5"/>
          <w:rFonts w:ascii="Times New Roman" w:eastAsia="Segoe UI" w:hAnsi="Times New Roman"/>
          <w:bCs/>
          <w:i/>
          <w:iCs/>
          <w:sz w:val="21"/>
          <w:szCs w:val="21"/>
          <w:shd w:val="clear" w:color="auto" w:fill="FFFFFF"/>
        </w:rPr>
        <w:t>S</w:t>
      </w:r>
      <w:r>
        <w:rPr>
          <w:rStyle w:val="a5"/>
          <w:rFonts w:ascii="Times New Roman" w:eastAsia="宋体" w:hAnsi="Times New Roman" w:hint="eastAsia"/>
          <w:bCs/>
          <w:i/>
          <w:iCs/>
          <w:sz w:val="21"/>
          <w:szCs w:val="21"/>
          <w:shd w:val="clear" w:color="auto" w:fill="FFFFFF"/>
        </w:rPr>
        <w:t>2</w:t>
      </w:r>
      <w:r>
        <w:rPr>
          <w:rStyle w:val="a5"/>
          <w:rFonts w:ascii="Times New Roman" w:eastAsia="Segoe UI" w:hAnsi="Times New Roman"/>
          <w:bCs/>
          <w:i/>
          <w:iCs/>
          <w:sz w:val="21"/>
          <w:szCs w:val="21"/>
          <w:shd w:val="clear" w:color="auto" w:fill="FFFFFF"/>
        </w:rPr>
        <w:t>. Diagnostic Performance in Sensitivity Analysis</w:t>
      </w:r>
    </w:p>
    <w:p w:rsidR="004B1969" w:rsidRDefault="0037008D">
      <w:pPr>
        <w:pStyle w:val="a4"/>
        <w:widowControl/>
        <w:shd w:val="clear" w:color="auto" w:fill="FFFFFF"/>
        <w:spacing w:beforeAutospacing="0" w:after="100" w:afterAutospacing="0" w:line="360" w:lineRule="auto"/>
        <w:ind w:firstLine="420"/>
        <w:jc w:val="both"/>
        <w:rPr>
          <w:rFonts w:ascii="Times New Roman" w:eastAsia="Segoe UI" w:hAnsi="Times New Roman"/>
          <w:sz w:val="21"/>
          <w:szCs w:val="21"/>
          <w:shd w:val="clear" w:color="auto" w:fill="FFFFFF"/>
        </w:rPr>
      </w:pPr>
      <w:r>
        <w:rPr>
          <w:rFonts w:ascii="Times New Roman" w:eastAsia="Segoe UI" w:hAnsi="Times New Roman"/>
          <w:sz w:val="21"/>
          <w:szCs w:val="21"/>
          <w:shd w:val="clear" w:color="auto" w:fill="FFFFFF"/>
        </w:rPr>
        <w:t>We performed a parallel ROC analysis within the sensitivity cohort </w:t>
      </w:r>
      <w:r>
        <w:rPr>
          <w:rStyle w:val="a5"/>
          <w:rFonts w:ascii="Times New Roman" w:eastAsia="Segoe UI" w:hAnsi="Times New Roman"/>
          <w:b w:val="0"/>
          <w:sz w:val="21"/>
          <w:szCs w:val="21"/>
          <w:shd w:val="clear" w:color="auto" w:fill="FFFFFF"/>
        </w:rPr>
        <w:t>(ex</w:t>
      </w:r>
      <w:r>
        <w:rPr>
          <w:rStyle w:val="a5"/>
          <w:rFonts w:ascii="Times New Roman" w:eastAsia="Segoe UI" w:hAnsi="Times New Roman"/>
          <w:b w:val="0"/>
          <w:sz w:val="21"/>
          <w:szCs w:val="21"/>
          <w:shd w:val="clear" w:color="auto" w:fill="FFFFFF"/>
        </w:rPr>
        <w:t>cluding patients with any CCTA overestimation)</w:t>
      </w:r>
      <w:r>
        <w:rPr>
          <w:rFonts w:ascii="Times New Roman" w:eastAsia="Segoe UI" w:hAnsi="Times New Roman"/>
          <w:sz w:val="21"/>
          <w:szCs w:val="21"/>
          <w:shd w:val="clear" w:color="auto" w:fill="FFFFFF"/>
        </w:rPr>
        <w:t> (Supplementary Fig</w:t>
      </w:r>
      <w:r w:rsidR="009D71D6">
        <w:rPr>
          <w:rFonts w:ascii="Times New Roman" w:eastAsia="Segoe UI" w:hAnsi="Times New Roman"/>
          <w:sz w:val="21"/>
          <w:szCs w:val="21"/>
          <w:shd w:val="clear" w:color="auto" w:fill="FFFFFF"/>
        </w:rPr>
        <w:t xml:space="preserve">. </w:t>
      </w:r>
      <w:r>
        <w:rPr>
          <w:rFonts w:ascii="Times New Roman" w:eastAsia="Segoe UI" w:hAnsi="Times New Roman"/>
          <w:sz w:val="21"/>
          <w:szCs w:val="21"/>
          <w:shd w:val="clear" w:color="auto" w:fill="FFFFFF"/>
        </w:rPr>
        <w:t>2). In this subset, the discriminative capacity of the continuous CAC score remained poor, yielding an AUC of 0.481 (95% CI: 0.435–0.527) with a Youden-derived cutoff of 12.3. </w:t>
      </w:r>
      <w:r>
        <w:rPr>
          <w:rStyle w:val="a5"/>
          <w:rFonts w:ascii="Times New Roman" w:eastAsia="Segoe UI" w:hAnsi="Times New Roman"/>
          <w:b w:val="0"/>
          <w:sz w:val="21"/>
          <w:szCs w:val="21"/>
          <w:shd w:val="clear" w:color="auto" w:fill="FFFFFF"/>
        </w:rPr>
        <w:t xml:space="preserve">The </w:t>
      </w:r>
      <w:r>
        <w:rPr>
          <w:rStyle w:val="a5"/>
          <w:rFonts w:ascii="Times New Roman" w:eastAsia="Segoe UI" w:hAnsi="Times New Roman"/>
          <w:b w:val="0"/>
          <w:sz w:val="21"/>
          <w:szCs w:val="21"/>
          <w:shd w:val="clear" w:color="auto" w:fill="FFFFFF"/>
        </w:rPr>
        <w:t xml:space="preserve">failure of the ROC model to demonstrate predictive utility in this pure underestimation phenotype—despite the highly significant non-linear association confirmed by RCS in the same cohort (see main text)—further reinforces the methodological inadequacy of </w:t>
      </w:r>
      <w:r>
        <w:rPr>
          <w:rStyle w:val="a5"/>
          <w:rFonts w:ascii="Times New Roman" w:eastAsia="Segoe UI" w:hAnsi="Times New Roman"/>
          <w:b w:val="0"/>
          <w:sz w:val="21"/>
          <w:szCs w:val="21"/>
          <w:shd w:val="clear" w:color="auto" w:fill="FFFFFF"/>
        </w:rPr>
        <w:t>linear thresholding.</w:t>
      </w:r>
      <w:r>
        <w:rPr>
          <w:rFonts w:ascii="Times New Roman" w:eastAsia="Segoe UI" w:hAnsi="Times New Roman"/>
          <w:sz w:val="21"/>
          <w:szCs w:val="21"/>
          <w:shd w:val="clear" w:color="auto" w:fill="FFFFFF"/>
        </w:rPr>
        <w:t> These findings reinforce the conclusion that a single CAC threshold cannot accurately discriminate stenosis underestimation on its own. Instead, CAC burden functions primarily as an underlying, </w:t>
      </w:r>
      <w:r>
        <w:rPr>
          <w:rStyle w:val="a5"/>
          <w:rFonts w:ascii="Times New Roman" w:eastAsia="Segoe UI" w:hAnsi="Times New Roman"/>
          <w:b w:val="0"/>
          <w:sz w:val="21"/>
          <w:szCs w:val="21"/>
          <w:shd w:val="clear" w:color="auto" w:fill="FFFFFF"/>
        </w:rPr>
        <w:t>non-linear</w:t>
      </w:r>
      <w:r>
        <w:rPr>
          <w:rFonts w:ascii="Times New Roman" w:eastAsia="Segoe UI" w:hAnsi="Times New Roman"/>
          <w:sz w:val="21"/>
          <w:szCs w:val="21"/>
          <w:shd w:val="clear" w:color="auto" w:fill="FFFFFF"/>
        </w:rPr>
        <w:t> risk modifier that warrants in</w:t>
      </w:r>
      <w:r>
        <w:rPr>
          <w:rFonts w:ascii="Times New Roman" w:eastAsia="Segoe UI" w:hAnsi="Times New Roman"/>
          <w:sz w:val="21"/>
          <w:szCs w:val="21"/>
          <w:shd w:val="clear" w:color="auto" w:fill="FFFFFF"/>
        </w:rPr>
        <w:t>creased visual scrutiny during CCTA interpretation.</w:t>
      </w:r>
    </w:p>
    <w:p w:rsidR="004B1969" w:rsidRDefault="0037008D" w:rsidP="009D71D6">
      <w:pPr>
        <w:pStyle w:val="a4"/>
        <w:widowControl/>
        <w:shd w:val="clear" w:color="auto" w:fill="FFFFFF"/>
        <w:spacing w:beforeAutospacing="0" w:afterAutospacing="0" w:line="360" w:lineRule="auto"/>
        <w:jc w:val="center"/>
        <w:rPr>
          <w:rStyle w:val="a5"/>
          <w:rFonts w:ascii="Times New Roman" w:eastAsia="宋体" w:hAnsi="Times New Roman"/>
          <w:bCs/>
          <w:sz w:val="18"/>
          <w:szCs w:val="18"/>
          <w:shd w:val="clear" w:color="auto" w:fill="FFFFFF"/>
        </w:rPr>
      </w:pPr>
      <w:r>
        <w:rPr>
          <w:rStyle w:val="a5"/>
          <w:rFonts w:ascii="Times New Roman" w:eastAsia="宋体" w:hAnsi="Times New Roman" w:hint="eastAsia"/>
          <w:bCs/>
          <w:noProof/>
          <w:sz w:val="18"/>
          <w:szCs w:val="18"/>
          <w:shd w:val="clear" w:color="auto" w:fill="FFFFFF"/>
        </w:rPr>
        <w:drawing>
          <wp:inline distT="0" distB="0" distL="114300" distR="114300">
            <wp:extent cx="3226435" cy="3047365"/>
            <wp:effectExtent l="0" t="0" r="12065" b="635"/>
            <wp:docPr id="20" name="图片 20" descr="Supplementary Figure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Supplementary Figure S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26435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969" w:rsidRDefault="0037008D">
      <w:pPr>
        <w:pStyle w:val="a4"/>
        <w:widowControl/>
        <w:shd w:val="clear" w:color="auto" w:fill="FFFFFF"/>
        <w:spacing w:beforeAutospacing="0" w:afterAutospacing="0" w:line="360" w:lineRule="auto"/>
        <w:jc w:val="both"/>
        <w:rPr>
          <w:rFonts w:ascii="Times New Roman" w:hAnsi="Times New Roman"/>
        </w:rPr>
      </w:pPr>
      <w:r>
        <w:rPr>
          <w:rStyle w:val="a5"/>
          <w:rFonts w:ascii="Times New Roman" w:eastAsia="Segoe UI" w:hAnsi="Times New Roman"/>
          <w:bCs/>
          <w:sz w:val="18"/>
          <w:szCs w:val="18"/>
          <w:shd w:val="clear" w:color="auto" w:fill="FFFFFF"/>
        </w:rPr>
        <w:lastRenderedPageBreak/>
        <w:t>Supplementary Fig</w:t>
      </w:r>
      <w:r w:rsidR="009D71D6">
        <w:rPr>
          <w:rStyle w:val="a5"/>
          <w:rFonts w:ascii="Times New Roman" w:eastAsia="Segoe UI" w:hAnsi="Times New Roman"/>
          <w:bCs/>
          <w:sz w:val="18"/>
          <w:szCs w:val="18"/>
          <w:shd w:val="clear" w:color="auto" w:fill="FFFFFF"/>
        </w:rPr>
        <w:t xml:space="preserve">. </w:t>
      </w:r>
      <w:r>
        <w:rPr>
          <w:rStyle w:val="a5"/>
          <w:rFonts w:ascii="Times New Roman" w:eastAsia="宋体" w:hAnsi="Times New Roman" w:hint="eastAsia"/>
          <w:bCs/>
          <w:sz w:val="18"/>
          <w:szCs w:val="18"/>
          <w:shd w:val="clear" w:color="auto" w:fill="FFFFFF"/>
        </w:rPr>
        <w:t>2.</w:t>
      </w:r>
      <w:r>
        <w:rPr>
          <w:rStyle w:val="a5"/>
          <w:rFonts w:ascii="Times New Roman" w:eastAsia="Segoe UI" w:hAnsi="Times New Roman"/>
          <w:bCs/>
          <w:sz w:val="18"/>
          <w:szCs w:val="18"/>
          <w:shd w:val="clear" w:color="auto" w:fill="FFFFFF"/>
        </w:rPr>
        <w:t xml:space="preserve"> Sensitivity analysis of the ROC curve for continuous CAC score</w:t>
      </w:r>
      <w:r w:rsidR="009D71D6">
        <w:rPr>
          <w:rFonts w:ascii="Times New Roman" w:eastAsia="Segoe UI" w:hAnsi="Times New Roman"/>
          <w:sz w:val="18"/>
          <w:szCs w:val="18"/>
          <w:shd w:val="clear" w:color="auto" w:fill="FFFFFF"/>
        </w:rPr>
        <w:t xml:space="preserve">. </w:t>
      </w:r>
      <w:r>
        <w:rPr>
          <w:rStyle w:val="a6"/>
          <w:rFonts w:ascii="Times New Roman" w:eastAsia="Segoe UI" w:hAnsi="Times New Roman"/>
          <w:i w:val="0"/>
          <w:sz w:val="18"/>
          <w:szCs w:val="18"/>
          <w:shd w:val="clear" w:color="auto" w:fill="FFFFFF"/>
        </w:rPr>
        <w:t>Notes:</w:t>
      </w:r>
      <w:r>
        <w:rPr>
          <w:rFonts w:ascii="Times New Roman" w:eastAsia="Segoe UI" w:hAnsi="Times New Roman"/>
          <w:sz w:val="18"/>
          <w:szCs w:val="18"/>
          <w:shd w:val="clear" w:color="auto" w:fill="FFFFFF"/>
        </w:rPr>
        <w:t> </w:t>
      </w:r>
      <w:r>
        <w:rPr>
          <w:rFonts w:ascii="Times New Roman" w:eastAsia="Segoe UI" w:hAnsi="Times New Roman"/>
          <w:sz w:val="18"/>
          <w:szCs w:val="18"/>
          <w:shd w:val="clear" w:color="auto" w:fill="FFFFFF"/>
        </w:rPr>
        <w:t xml:space="preserve">Receiver operating characteristic (ROC) curve assessing the diagnostic performance of the CAC score within </w:t>
      </w:r>
      <w:r>
        <w:rPr>
          <w:rFonts w:ascii="Times New Roman" w:eastAsia="Segoe UI" w:hAnsi="Times New Roman"/>
          <w:sz w:val="18"/>
          <w:szCs w:val="18"/>
          <w:shd w:val="clear" w:color="auto" w:fill="FFFFFF"/>
        </w:rPr>
        <w:t>the predefined sensitivity analysis cohort </w:t>
      </w:r>
      <w:r>
        <w:rPr>
          <w:rStyle w:val="a5"/>
          <w:rFonts w:ascii="Times New Roman" w:eastAsia="Segoe UI" w:hAnsi="Times New Roman"/>
          <w:b w:val="0"/>
          <w:sz w:val="18"/>
          <w:szCs w:val="18"/>
          <w:shd w:val="clear" w:color="auto" w:fill="FFFFFF"/>
        </w:rPr>
        <w:t>(N = 155)</w:t>
      </w:r>
      <w:r>
        <w:rPr>
          <w:rFonts w:ascii="Times New Roman" w:eastAsia="Segoe UI" w:hAnsi="Times New Roman"/>
          <w:sz w:val="18"/>
          <w:szCs w:val="18"/>
          <w:shd w:val="clear" w:color="auto" w:fill="FFFFFF"/>
        </w:rPr>
        <w:t>. The test yielded an AUC of 0.481 (95% CI: 0.435–0.527), indicating limited independent discriminative ability </w:t>
      </w:r>
      <w:r>
        <w:rPr>
          <w:rStyle w:val="a5"/>
          <w:rFonts w:ascii="Times New Roman" w:eastAsia="Segoe UI" w:hAnsi="Times New Roman"/>
          <w:b w:val="0"/>
          <w:sz w:val="18"/>
          <w:szCs w:val="18"/>
          <w:shd w:val="clear" w:color="auto" w:fill="FFFFFF"/>
        </w:rPr>
        <w:t>when forced into a binary linear threshold</w:t>
      </w:r>
      <w:r>
        <w:rPr>
          <w:rFonts w:ascii="Times New Roman" w:eastAsia="Segoe UI" w:hAnsi="Times New Roman"/>
          <w:sz w:val="18"/>
          <w:szCs w:val="18"/>
          <w:shd w:val="clear" w:color="auto" w:fill="FFFFFF"/>
        </w:rPr>
        <w:t>. The optimal theoretical cutoff was calculated at</w:t>
      </w:r>
      <w:r>
        <w:rPr>
          <w:rFonts w:ascii="Times New Roman" w:eastAsia="Segoe UI" w:hAnsi="Times New Roman"/>
          <w:sz w:val="18"/>
          <w:szCs w:val="18"/>
          <w:shd w:val="clear" w:color="auto" w:fill="FFFFFF"/>
        </w:rPr>
        <w:t xml:space="preserve"> 12.3 based on the Youden index. Abbreviations: AUC, area under the curve; CAC, coronary artery calcium; CI, confidence interval; ROC, receiver operating characteristic.</w:t>
      </w:r>
    </w:p>
    <w:p w:rsidR="004B1969" w:rsidRDefault="004B1969"/>
    <w:sectPr w:rsidR="004B196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7008D" w:rsidRDefault="0037008D" w:rsidP="009D71D6">
      <w:r>
        <w:separator/>
      </w:r>
    </w:p>
  </w:endnote>
  <w:endnote w:type="continuationSeparator" w:id="0">
    <w:p w:rsidR="0037008D" w:rsidRDefault="0037008D" w:rsidP="009D71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7008D" w:rsidRDefault="0037008D" w:rsidP="009D71D6">
      <w:r>
        <w:separator/>
      </w:r>
    </w:p>
  </w:footnote>
  <w:footnote w:type="continuationSeparator" w:id="0">
    <w:p w:rsidR="0037008D" w:rsidRDefault="0037008D" w:rsidP="009D71D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1969"/>
    <w:rsid w:val="0037008D"/>
    <w:rsid w:val="004B1969"/>
    <w:rsid w:val="009D71D6"/>
    <w:rsid w:val="0D8F7B35"/>
    <w:rsid w:val="0E904B17"/>
    <w:rsid w:val="18B539B9"/>
    <w:rsid w:val="25AB3597"/>
    <w:rsid w:val="3FDC71C5"/>
    <w:rsid w:val="402B654B"/>
    <w:rsid w:val="54522034"/>
    <w:rsid w:val="5A115F09"/>
    <w:rsid w:val="681242AD"/>
    <w:rsid w:val="7AE03B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F2A84DB"/>
  <w15:docId w15:val="{E68A1142-9C94-4891-8D9E-613B05B616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Body Text" w:semiHidden="1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3">
    <w:name w:val="heading 3"/>
    <w:basedOn w:val="a"/>
    <w:next w:val="a"/>
    <w:semiHidden/>
    <w:unhideWhenUsed/>
    <w:qFormat/>
    <w:pPr>
      <w:spacing w:beforeAutospacing="1" w:afterAutospacing="1"/>
      <w:jc w:val="left"/>
      <w:outlineLvl w:val="2"/>
    </w:pPr>
    <w:rPr>
      <w:rFonts w:ascii="宋体" w:eastAsia="宋体" w:hAnsi="宋体" w:cs="Times New Roman" w:hint="eastAsia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semiHidden/>
    <w:qFormat/>
    <w:pPr>
      <w:autoSpaceDE w:val="0"/>
      <w:autoSpaceDN w:val="0"/>
      <w:adjustRightInd w:val="0"/>
      <w:ind w:firstLine="420"/>
    </w:pPr>
    <w:rPr>
      <w:kern w:val="0"/>
    </w:rPr>
  </w:style>
  <w:style w:type="paragraph" w:styleId="a4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5">
    <w:name w:val="Strong"/>
    <w:basedOn w:val="a0"/>
    <w:qFormat/>
    <w:rPr>
      <w:b/>
    </w:rPr>
  </w:style>
  <w:style w:type="character" w:styleId="a6">
    <w:name w:val="Emphasis"/>
    <w:basedOn w:val="a0"/>
    <w:qFormat/>
    <w:rPr>
      <w:i/>
    </w:rPr>
  </w:style>
  <w:style w:type="paragraph" w:customStyle="1" w:styleId="a7">
    <w:name w:val="致谢部分"/>
    <w:basedOn w:val="a3"/>
    <w:semiHidden/>
    <w:qFormat/>
    <w:pPr>
      <w:snapToGrid w:val="0"/>
      <w:spacing w:before="240" w:after="240" w:line="288" w:lineRule="auto"/>
      <w:ind w:firstLine="0"/>
    </w:pPr>
    <w:rPr>
      <w:b/>
      <w:kern w:val="2"/>
      <w:sz w:val="24"/>
    </w:rPr>
  </w:style>
  <w:style w:type="paragraph" w:styleId="a8">
    <w:name w:val="header"/>
    <w:basedOn w:val="a"/>
    <w:link w:val="a9"/>
    <w:rsid w:val="009D71D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9">
    <w:name w:val="页眉 字符"/>
    <w:basedOn w:val="a0"/>
    <w:link w:val="a8"/>
    <w:rsid w:val="009D71D6"/>
    <w:rPr>
      <w:kern w:val="2"/>
      <w:sz w:val="18"/>
      <w:szCs w:val="18"/>
    </w:rPr>
  </w:style>
  <w:style w:type="paragraph" w:styleId="aa">
    <w:name w:val="footer"/>
    <w:basedOn w:val="a"/>
    <w:link w:val="ab"/>
    <w:rsid w:val="009D71D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b">
    <w:name w:val="页脚 字符"/>
    <w:basedOn w:val="a0"/>
    <w:link w:val="aa"/>
    <w:rsid w:val="009D71D6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517</Words>
  <Characters>2950</Characters>
  <Application>Microsoft Office Word</Application>
  <DocSecurity>0</DocSecurity>
  <Lines>24</Lines>
  <Paragraphs>6</Paragraphs>
  <ScaleCrop>false</ScaleCrop>
  <Company/>
  <LinksUpToDate>false</LinksUpToDate>
  <CharactersWithSpaces>3461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fengz</dc:creator>
  <cp:lastModifiedBy>cheryl</cp:lastModifiedBy>
  <cp:revision>2</cp:revision>
  <dcterms:created xsi:type="dcterms:W3CDTF">2024-12-10T14:08:00Z</dcterms:created>
  <dcterms:modified xsi:type="dcterms:W3CDTF">2026-06-24T00:56:00Z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A808863C66454CF4878C24A413E3C97B_12</vt:lpwstr>
  </property>
  <property fmtid="{D5CDD505-2E9C-101B-9397-08002B2CF9AE}" pid="4" name="KSOTemplateDocerSaveRecord">
    <vt:lpwstr>eyJoZGlkIjoiZDI2NGU3MWUyMzIyMmQ5MjFhYTdiMmIwYWQxMzg2OWUiLCJ1c2VySWQiOiIyODM2OTY0NDMifQ==</vt:lpwstr>
  </property>
</Properties>
</file>